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2ADA" w14:textId="77777777" w:rsidR="00D130CF" w:rsidRDefault="00D130CF">
      <w:pPr>
        <w:spacing w:before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Gemeinde</w:t>
      </w:r>
      <w:r w:rsidR="007E58CA">
        <w:rPr>
          <w:rFonts w:ascii="Arial" w:hAnsi="Arial"/>
          <w:b/>
          <w:sz w:val="26"/>
        </w:rPr>
        <w:t xml:space="preserve"> Ohmden</w:t>
      </w:r>
    </w:p>
    <w:p w14:paraId="682BC0BD" w14:textId="77777777" w:rsidR="00D130CF" w:rsidRDefault="007E58CA">
      <w:pPr>
        <w:spacing w:before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Landkreis Esslingen</w:t>
      </w:r>
    </w:p>
    <w:p w14:paraId="718E00CD" w14:textId="77777777" w:rsidR="00D130CF" w:rsidRDefault="00D130CF">
      <w:pPr>
        <w:spacing w:before="0" w:line="240" w:lineRule="atLeast"/>
        <w:jc w:val="center"/>
        <w:rPr>
          <w:rFonts w:ascii="Arial" w:hAnsi="Arial"/>
          <w:sz w:val="22"/>
        </w:rPr>
      </w:pPr>
    </w:p>
    <w:p w14:paraId="6FC1B91F" w14:textId="77777777" w:rsidR="00D130CF" w:rsidRDefault="00D130CF">
      <w:pPr>
        <w:spacing w:before="0" w:line="240" w:lineRule="atLeast"/>
        <w:jc w:val="center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SATZUNG</w:t>
      </w:r>
    </w:p>
    <w:p w14:paraId="75E7D5D1" w14:textId="77777777" w:rsidR="00D130CF" w:rsidRDefault="00D130CF">
      <w:pPr>
        <w:spacing w:before="0" w:line="240" w:lineRule="atLeast"/>
        <w:jc w:val="center"/>
        <w:rPr>
          <w:rFonts w:ascii="Arial" w:hAnsi="Arial"/>
          <w:sz w:val="22"/>
        </w:rPr>
      </w:pPr>
    </w:p>
    <w:p w14:paraId="5A02A0FF" w14:textId="77777777" w:rsidR="00D130CF" w:rsidRDefault="00D130CF">
      <w:pPr>
        <w:spacing w:before="0" w:line="240" w:lineRule="atLeast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über die förmliche Festlegung des</w:t>
      </w:r>
    </w:p>
    <w:p w14:paraId="31E72A08" w14:textId="77777777" w:rsidR="00D130CF" w:rsidRDefault="00D130CF">
      <w:pPr>
        <w:spacing w:before="0" w:line="240" w:lineRule="atLeast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Sanierungsgebietes "</w:t>
      </w:r>
      <w:r w:rsidR="007E58CA">
        <w:rPr>
          <w:rFonts w:ascii="Arial" w:hAnsi="Arial"/>
          <w:b/>
          <w:sz w:val="22"/>
        </w:rPr>
        <w:t>Ortsmitte</w:t>
      </w:r>
      <w:r>
        <w:rPr>
          <w:rFonts w:ascii="Arial" w:hAnsi="Arial"/>
          <w:b/>
          <w:sz w:val="22"/>
        </w:rPr>
        <w:t>"</w:t>
      </w:r>
    </w:p>
    <w:p w14:paraId="0C44551E" w14:textId="77777777" w:rsidR="00D130CF" w:rsidRDefault="00D130CF">
      <w:pPr>
        <w:spacing w:before="0" w:line="240" w:lineRule="atLeast"/>
        <w:jc w:val="both"/>
        <w:rPr>
          <w:rFonts w:ascii="Arial" w:hAnsi="Arial"/>
          <w:sz w:val="22"/>
        </w:rPr>
      </w:pPr>
    </w:p>
    <w:p w14:paraId="34821C11" w14:textId="77777777" w:rsidR="00BC1B82" w:rsidRDefault="006C49A4" w:rsidP="00BC1B82">
      <w:pPr>
        <w:spacing w:before="0" w:line="240" w:lineRule="atLeast"/>
        <w:jc w:val="both"/>
        <w:rPr>
          <w:rFonts w:ascii="Arial" w:hAnsi="Arial"/>
          <w:sz w:val="22"/>
        </w:rPr>
      </w:pPr>
      <w:r w:rsidRPr="006C49A4">
        <w:rPr>
          <w:rFonts w:ascii="Arial" w:hAnsi="Arial"/>
          <w:sz w:val="22"/>
        </w:rPr>
        <w:t>Aufgrund von §</w:t>
      </w:r>
      <w:r w:rsidR="00E45042">
        <w:rPr>
          <w:rFonts w:ascii="Arial" w:hAnsi="Arial"/>
          <w:sz w:val="22"/>
        </w:rPr>
        <w:t> </w:t>
      </w:r>
      <w:r w:rsidRPr="006C49A4">
        <w:rPr>
          <w:rFonts w:ascii="Arial" w:hAnsi="Arial"/>
          <w:sz w:val="22"/>
        </w:rPr>
        <w:t xml:space="preserve">142 Abs. 1 und 3 des Baugesetzbuches (BauGB) </w:t>
      </w:r>
      <w:r w:rsidR="00E45042">
        <w:rPr>
          <w:rFonts w:ascii="Arial" w:hAnsi="Arial"/>
          <w:sz w:val="22"/>
        </w:rPr>
        <w:t>in Verbindung mit § </w:t>
      </w:r>
      <w:r w:rsidRPr="006C49A4">
        <w:rPr>
          <w:rFonts w:ascii="Arial" w:hAnsi="Arial"/>
          <w:sz w:val="22"/>
        </w:rPr>
        <w:t xml:space="preserve">4 der Gemeindeordnung (GemO) für Baden-Württemberg in der </w:t>
      </w:r>
      <w:r w:rsidR="00E45042">
        <w:rPr>
          <w:rFonts w:ascii="Arial" w:hAnsi="Arial"/>
          <w:sz w:val="22"/>
        </w:rPr>
        <w:t xml:space="preserve">jeweils gültigen </w:t>
      </w:r>
      <w:r w:rsidRPr="006C49A4">
        <w:rPr>
          <w:rFonts w:ascii="Arial" w:hAnsi="Arial"/>
          <w:sz w:val="22"/>
        </w:rPr>
        <w:t>Fassung</w:t>
      </w:r>
      <w:r w:rsidR="00BC1B82">
        <w:rPr>
          <w:rFonts w:ascii="Arial" w:hAnsi="Arial"/>
          <w:sz w:val="22"/>
          <w:szCs w:val="22"/>
        </w:rPr>
        <w:t xml:space="preserve"> </w:t>
      </w:r>
      <w:r w:rsidR="00BC1B82">
        <w:rPr>
          <w:rFonts w:ascii="Arial" w:hAnsi="Arial"/>
          <w:sz w:val="22"/>
        </w:rPr>
        <w:t xml:space="preserve">hat der Gemeinderat der Gemeinde </w:t>
      </w:r>
      <w:r w:rsidR="007E58CA">
        <w:rPr>
          <w:rFonts w:ascii="Arial" w:hAnsi="Arial"/>
          <w:sz w:val="22"/>
        </w:rPr>
        <w:t xml:space="preserve">Ohmden </w:t>
      </w:r>
      <w:r w:rsidR="00BC1B82">
        <w:rPr>
          <w:rFonts w:ascii="Arial" w:hAnsi="Arial"/>
          <w:sz w:val="22"/>
        </w:rPr>
        <w:t xml:space="preserve">in seiner Sitzung am </w:t>
      </w:r>
      <w:r w:rsidR="007E58CA">
        <w:rPr>
          <w:rFonts w:ascii="Arial" w:hAnsi="Arial"/>
          <w:sz w:val="22"/>
        </w:rPr>
        <w:t>19.07.2021</w:t>
      </w:r>
      <w:r w:rsidR="00BC1B82">
        <w:rPr>
          <w:rFonts w:ascii="Arial" w:hAnsi="Arial"/>
          <w:sz w:val="22"/>
        </w:rPr>
        <w:t xml:space="preserve"> folgende Sanierungssatzung beschlossen:</w:t>
      </w:r>
    </w:p>
    <w:p w14:paraId="7E7B8C8B" w14:textId="77777777" w:rsidR="00D130CF" w:rsidRDefault="00D130CF">
      <w:pPr>
        <w:spacing w:before="0" w:line="240" w:lineRule="atLeast"/>
        <w:jc w:val="both"/>
        <w:rPr>
          <w:rFonts w:ascii="Arial" w:hAnsi="Arial"/>
          <w:sz w:val="22"/>
        </w:rPr>
      </w:pPr>
    </w:p>
    <w:p w14:paraId="64CB9E90" w14:textId="77777777" w:rsidR="00D130CF" w:rsidRDefault="00D130CF">
      <w:pPr>
        <w:spacing w:before="0" w:line="240" w:lineRule="atLeast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1</w:t>
      </w:r>
    </w:p>
    <w:p w14:paraId="728EF411" w14:textId="77777777" w:rsidR="00D130CF" w:rsidRDefault="00D130CF">
      <w:pPr>
        <w:spacing w:before="0" w:line="240" w:lineRule="atLeast"/>
        <w:jc w:val="center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Festlegung des Sanierungsgebietes</w:t>
      </w:r>
    </w:p>
    <w:p w14:paraId="713636BF" w14:textId="77777777" w:rsidR="00D130CF" w:rsidRDefault="00D130CF">
      <w:pPr>
        <w:spacing w:before="0" w:line="240" w:lineRule="atLeast"/>
        <w:jc w:val="center"/>
        <w:rPr>
          <w:rFonts w:ascii="Arial" w:hAnsi="Arial"/>
          <w:sz w:val="22"/>
          <w:u w:val="single"/>
        </w:rPr>
      </w:pPr>
    </w:p>
    <w:p w14:paraId="47DF1FEB" w14:textId="77777777" w:rsidR="00D130CF" w:rsidRDefault="00D130CF">
      <w:pPr>
        <w:spacing w:before="0" w:line="240" w:lineRule="atLeast"/>
        <w:jc w:val="center"/>
        <w:rPr>
          <w:rFonts w:ascii="Arial" w:hAnsi="Arial"/>
          <w:sz w:val="22"/>
          <w:u w:val="single"/>
        </w:rPr>
      </w:pPr>
    </w:p>
    <w:p w14:paraId="55D84ED0" w14:textId="77777777" w:rsidR="00461BB4" w:rsidRDefault="00461BB4" w:rsidP="00461BB4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dem nachfolgend näher beschriebenen Gebiet liegen städtebauliche Missstände nach § 136 BauGB vor. Dieser Bereich soll durch städtebauliche Sanierungsmaßnahmen wesentlich verbessert oder umgestaltet werden. Das insgesamt ca. </w:t>
      </w:r>
      <w:r w:rsidR="007E58CA">
        <w:rPr>
          <w:rFonts w:ascii="Arial" w:hAnsi="Arial"/>
          <w:sz w:val="22"/>
        </w:rPr>
        <w:t>9</w:t>
      </w:r>
      <w:r w:rsidR="00A2302F">
        <w:rPr>
          <w:rFonts w:ascii="Arial" w:hAnsi="Arial"/>
          <w:sz w:val="22"/>
        </w:rPr>
        <w:t>,2</w:t>
      </w:r>
      <w:r>
        <w:rPr>
          <w:rFonts w:ascii="Arial" w:hAnsi="Arial"/>
          <w:sz w:val="22"/>
        </w:rPr>
        <w:t xml:space="preserve"> ha umfassende Gebiet wird hiermit förmlich als Sanierungsgebiet festgelegt und erhält die Bezeichnung "</w:t>
      </w:r>
      <w:r w:rsidR="007E58CA">
        <w:rPr>
          <w:rFonts w:ascii="Arial" w:hAnsi="Arial"/>
          <w:sz w:val="22"/>
        </w:rPr>
        <w:t>Ortsmitte</w:t>
      </w:r>
      <w:r>
        <w:rPr>
          <w:rFonts w:ascii="Arial" w:hAnsi="Arial"/>
          <w:sz w:val="22"/>
        </w:rPr>
        <w:t>".</w:t>
      </w:r>
    </w:p>
    <w:p w14:paraId="66547699" w14:textId="77777777" w:rsidR="00461BB4" w:rsidRDefault="00461BB4" w:rsidP="00461BB4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</w:p>
    <w:p w14:paraId="5156C125" w14:textId="242C2642" w:rsidR="00461BB4" w:rsidRDefault="00461BB4" w:rsidP="00461BB4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Abgrenzung des Sanierungsgebietes ergibt sich aus dem Lageplan </w:t>
      </w:r>
      <w:r w:rsidR="00183F0B">
        <w:rPr>
          <w:rFonts w:ascii="Arial" w:hAnsi="Arial"/>
          <w:sz w:val="22"/>
        </w:rPr>
        <w:t>des</w:t>
      </w:r>
      <w:r w:rsidR="00942203">
        <w:rPr>
          <w:rFonts w:ascii="Arial" w:hAnsi="Arial"/>
          <w:sz w:val="22"/>
        </w:rPr>
        <w:t xml:space="preserve"> / der STEG Stadte</w:t>
      </w:r>
      <w:r w:rsidR="0052791A">
        <w:rPr>
          <w:rFonts w:ascii="Arial" w:hAnsi="Arial"/>
          <w:sz w:val="22"/>
        </w:rPr>
        <w:t>n</w:t>
      </w:r>
      <w:r w:rsidR="00942203">
        <w:rPr>
          <w:rFonts w:ascii="Arial" w:hAnsi="Arial"/>
          <w:sz w:val="22"/>
        </w:rPr>
        <w:t>twicklung GmbH</w:t>
      </w:r>
      <w:r w:rsidR="007E58CA" w:rsidRPr="00942203"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 xml:space="preserve">mit Datum vom </w:t>
      </w:r>
      <w:r w:rsidR="007E58CA">
        <w:rPr>
          <w:rFonts w:ascii="Arial" w:hAnsi="Arial"/>
          <w:sz w:val="22"/>
        </w:rPr>
        <w:t>19.07.2021</w:t>
      </w:r>
      <w:r w:rsidR="001C00F5">
        <w:rPr>
          <w:rFonts w:ascii="Arial" w:hAnsi="Arial"/>
          <w:sz w:val="22"/>
        </w:rPr>
        <w:t xml:space="preserve"> (Originalmaßstab</w:t>
      </w:r>
      <w:r w:rsidR="00942203">
        <w:rPr>
          <w:rFonts w:ascii="Arial" w:hAnsi="Arial"/>
          <w:sz w:val="22"/>
        </w:rPr>
        <w:t xml:space="preserve"> / </w:t>
      </w:r>
      <w:r w:rsidR="001C00F5" w:rsidRPr="00882E01">
        <w:rPr>
          <w:rFonts w:ascii="Arial" w:hAnsi="Arial"/>
          <w:sz w:val="22"/>
        </w:rPr>
        <w:t>M 1:25</w:t>
      </w:r>
      <w:r w:rsidRPr="00882E01">
        <w:rPr>
          <w:rFonts w:ascii="Arial" w:hAnsi="Arial"/>
          <w:sz w:val="22"/>
        </w:rPr>
        <w:t>00)</w:t>
      </w:r>
      <w:r>
        <w:rPr>
          <w:rFonts w:ascii="Arial" w:hAnsi="Arial"/>
          <w:sz w:val="22"/>
        </w:rPr>
        <w:t xml:space="preserve">. Das Sanierungsgebiet umfasst alle </w:t>
      </w:r>
      <w:smartTag w:uri="urn:schemas-microsoft-com:office:smarttags" w:element="PersonName">
        <w:r>
          <w:rPr>
            <w:rFonts w:ascii="Arial" w:hAnsi="Arial"/>
            <w:sz w:val="22"/>
          </w:rPr>
          <w:t>Grund</w:t>
        </w:r>
      </w:smartTag>
      <w:r>
        <w:rPr>
          <w:rFonts w:ascii="Arial" w:hAnsi="Arial"/>
          <w:sz w:val="22"/>
        </w:rPr>
        <w:t xml:space="preserve">stücke und </w:t>
      </w:r>
      <w:smartTag w:uri="urn:schemas-microsoft-com:office:smarttags" w:element="PersonName">
        <w:r>
          <w:rPr>
            <w:rFonts w:ascii="Arial" w:hAnsi="Arial"/>
            <w:sz w:val="22"/>
          </w:rPr>
          <w:t>Grund</w:t>
        </w:r>
      </w:smartTag>
      <w:r>
        <w:rPr>
          <w:rFonts w:ascii="Arial" w:hAnsi="Arial"/>
          <w:sz w:val="22"/>
        </w:rPr>
        <w:t xml:space="preserve">stücksteile innerhalb der im vorgenannten Lageplan abgegrenzten Fläche. Der Lageplan ist Bestandteil der Satzung. Die Sanierungssatzung sowie der Lageplan </w:t>
      </w:r>
      <w:proofErr w:type="gramStart"/>
      <w:r>
        <w:rPr>
          <w:rFonts w:ascii="Arial" w:hAnsi="Arial"/>
          <w:sz w:val="22"/>
        </w:rPr>
        <w:t>kann</w:t>
      </w:r>
      <w:proofErr w:type="gramEnd"/>
      <w:r>
        <w:rPr>
          <w:rFonts w:ascii="Arial" w:hAnsi="Arial"/>
          <w:sz w:val="22"/>
        </w:rPr>
        <w:t xml:space="preserve"> während der üblichen </w:t>
      </w:r>
      <w:r w:rsidR="002A357A">
        <w:rPr>
          <w:rFonts w:ascii="Arial" w:hAnsi="Arial"/>
          <w:sz w:val="22"/>
        </w:rPr>
        <w:t>Öffnungszeiten</w:t>
      </w:r>
      <w:r>
        <w:rPr>
          <w:rFonts w:ascii="Arial" w:hAnsi="Arial"/>
          <w:sz w:val="22"/>
        </w:rPr>
        <w:t xml:space="preserve"> im Rathaus von jedermann eingesehen werden. Werden innerhalb des förmlich festgelegten Sanierungsgebiets durch </w:t>
      </w:r>
      <w:smartTag w:uri="urn:schemas-microsoft-com:office:smarttags" w:element="PersonName">
        <w:r>
          <w:rPr>
            <w:rFonts w:ascii="Arial" w:hAnsi="Arial"/>
            <w:sz w:val="22"/>
          </w:rPr>
          <w:t>Grund</w:t>
        </w:r>
      </w:smartTag>
      <w:r>
        <w:rPr>
          <w:rFonts w:ascii="Arial" w:hAnsi="Arial"/>
          <w:sz w:val="22"/>
        </w:rPr>
        <w:t xml:space="preserve">stückszusammenlegungen Flurstücke verschmolzen und neue Flurstücke gebildet oder entstehen durch </w:t>
      </w:r>
      <w:smartTag w:uri="urn:schemas-microsoft-com:office:smarttags" w:element="PersonName">
        <w:r>
          <w:rPr>
            <w:rFonts w:ascii="Arial" w:hAnsi="Arial"/>
            <w:sz w:val="22"/>
          </w:rPr>
          <w:t>Grund</w:t>
        </w:r>
      </w:smartTag>
      <w:r>
        <w:rPr>
          <w:rFonts w:ascii="Arial" w:hAnsi="Arial"/>
          <w:sz w:val="22"/>
        </w:rPr>
        <w:t xml:space="preserve">stücksteilungen neue Flurstücke, sind auf diese insoweit die Bestimmungen dieser Satzung und des Sanierungsmaßnahmenrechts (§§ 136 ff. BauGB) ebenfalls anzuwenden. Der Sanierungsvermerk (§ 143 Abs. 2 S. 2 BauGB) ist durch das </w:t>
      </w:r>
      <w:proofErr w:type="gramStart"/>
      <w:r>
        <w:rPr>
          <w:rFonts w:ascii="Arial" w:hAnsi="Arial"/>
          <w:sz w:val="22"/>
        </w:rPr>
        <w:t>Grundbuchamt  auf</w:t>
      </w:r>
      <w:proofErr w:type="gramEnd"/>
      <w:r>
        <w:rPr>
          <w:rFonts w:ascii="Arial" w:hAnsi="Arial"/>
          <w:sz w:val="22"/>
        </w:rPr>
        <w:t xml:space="preserve"> den neu entstandenen </w:t>
      </w:r>
      <w:smartTag w:uri="urn:schemas-microsoft-com:office:smarttags" w:element="PersonName">
        <w:r>
          <w:rPr>
            <w:rFonts w:ascii="Arial" w:hAnsi="Arial"/>
            <w:sz w:val="22"/>
          </w:rPr>
          <w:t>Grund</w:t>
        </w:r>
      </w:smartTag>
      <w:r>
        <w:rPr>
          <w:rFonts w:ascii="Arial" w:hAnsi="Arial"/>
          <w:sz w:val="22"/>
        </w:rPr>
        <w:t>stücken zu übernehmen.</w:t>
      </w:r>
    </w:p>
    <w:p w14:paraId="083C820F" w14:textId="77777777" w:rsidR="00D130CF" w:rsidRDefault="00D130CF">
      <w:pPr>
        <w:tabs>
          <w:tab w:val="left" w:pos="1418"/>
        </w:tabs>
        <w:spacing w:before="0" w:line="240" w:lineRule="atLeast"/>
        <w:jc w:val="center"/>
        <w:rPr>
          <w:rFonts w:ascii="Arial" w:hAnsi="Arial"/>
          <w:sz w:val="22"/>
        </w:rPr>
      </w:pPr>
    </w:p>
    <w:p w14:paraId="14563638" w14:textId="77777777" w:rsidR="00D130CF" w:rsidRDefault="00D130CF">
      <w:pPr>
        <w:tabs>
          <w:tab w:val="left" w:pos="1418"/>
        </w:tabs>
        <w:spacing w:before="0" w:line="240" w:lineRule="atLeast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2</w:t>
      </w:r>
    </w:p>
    <w:p w14:paraId="4A6AC1BC" w14:textId="77777777" w:rsidR="00D130CF" w:rsidRDefault="00D130CF">
      <w:pPr>
        <w:tabs>
          <w:tab w:val="left" w:pos="1418"/>
        </w:tabs>
        <w:spacing w:before="0" w:line="240" w:lineRule="atLeast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Verfahren</w:t>
      </w:r>
    </w:p>
    <w:p w14:paraId="7C971665" w14:textId="77777777" w:rsidR="00D130CF" w:rsidRDefault="00D130CF">
      <w:pPr>
        <w:tabs>
          <w:tab w:val="left" w:pos="1418"/>
        </w:tabs>
        <w:spacing w:before="0" w:line="240" w:lineRule="atLeast"/>
        <w:jc w:val="center"/>
        <w:rPr>
          <w:rFonts w:ascii="Arial" w:hAnsi="Arial"/>
          <w:sz w:val="22"/>
        </w:rPr>
      </w:pPr>
    </w:p>
    <w:p w14:paraId="4B431D5F" w14:textId="77777777" w:rsidR="00D130CF" w:rsidRDefault="00D130CF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Sanierungsmaßnahme wird unter Anwendung der besonderen sanierungsrechtlichen Vor</w:t>
      </w:r>
      <w:r>
        <w:rPr>
          <w:rFonts w:ascii="Arial" w:hAnsi="Arial"/>
          <w:sz w:val="22"/>
        </w:rPr>
        <w:softHyphen/>
        <w:t>schriften der §§ 152 bis 156a</w:t>
      </w:r>
      <w:r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sz w:val="22"/>
        </w:rPr>
        <w:t>BauGB im umfassenden Verfahren durchgeführt.</w:t>
      </w:r>
    </w:p>
    <w:p w14:paraId="68CAA8F0" w14:textId="77777777" w:rsidR="00D130CF" w:rsidRDefault="00D130CF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</w:p>
    <w:p w14:paraId="41C000D0" w14:textId="77777777" w:rsidR="00D130CF" w:rsidRDefault="00D130CF">
      <w:pPr>
        <w:tabs>
          <w:tab w:val="left" w:pos="1418"/>
        </w:tabs>
        <w:spacing w:before="0" w:line="240" w:lineRule="atLeast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3</w:t>
      </w:r>
    </w:p>
    <w:p w14:paraId="7DEC0E8A" w14:textId="77777777" w:rsidR="00D130CF" w:rsidRDefault="00D130CF">
      <w:pPr>
        <w:tabs>
          <w:tab w:val="left" w:pos="1418"/>
        </w:tabs>
        <w:spacing w:before="0" w:line="240" w:lineRule="atLeast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Genehmigungspflichten</w:t>
      </w:r>
    </w:p>
    <w:p w14:paraId="63F6C24F" w14:textId="77777777" w:rsidR="00D130CF" w:rsidRDefault="00D130CF">
      <w:pPr>
        <w:tabs>
          <w:tab w:val="left" w:pos="1418"/>
        </w:tabs>
        <w:spacing w:before="0" w:line="240" w:lineRule="atLeast"/>
        <w:jc w:val="both"/>
        <w:rPr>
          <w:rFonts w:ascii="Arial" w:hAnsi="Arial"/>
          <w:b/>
          <w:sz w:val="22"/>
          <w:u w:val="single"/>
        </w:rPr>
      </w:pPr>
    </w:p>
    <w:p w14:paraId="0C894C69" w14:textId="77777777" w:rsidR="00D130CF" w:rsidRDefault="00D130CF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Vorschriften des § 144 BauGB über genehmigungspflichtige Vorhaben, Teilungen und Rechtsvorgänge finden Anwendung.</w:t>
      </w:r>
    </w:p>
    <w:p w14:paraId="0A45075A" w14:textId="77777777" w:rsidR="00D130CF" w:rsidRDefault="00D130CF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</w:p>
    <w:p w14:paraId="1537CBCF" w14:textId="77777777" w:rsidR="00D130CF" w:rsidRDefault="00D130CF" w:rsidP="00951AD6">
      <w:pPr>
        <w:keepNext/>
        <w:tabs>
          <w:tab w:val="left" w:pos="1418"/>
        </w:tabs>
        <w:spacing w:before="0" w:line="240" w:lineRule="atLeast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4</w:t>
      </w:r>
    </w:p>
    <w:p w14:paraId="18927BF3" w14:textId="77777777" w:rsidR="00D130CF" w:rsidRDefault="00D130CF" w:rsidP="00951AD6">
      <w:pPr>
        <w:keepNext/>
        <w:tabs>
          <w:tab w:val="left" w:pos="1418"/>
        </w:tabs>
        <w:spacing w:before="0" w:line="240" w:lineRule="atLeast"/>
        <w:jc w:val="center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Inkrafttreten</w:t>
      </w:r>
    </w:p>
    <w:p w14:paraId="46A9D226" w14:textId="77777777" w:rsidR="00D130CF" w:rsidRDefault="00D130CF" w:rsidP="00951AD6">
      <w:pPr>
        <w:keepNext/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  <w:u w:val="single"/>
        </w:rPr>
      </w:pPr>
    </w:p>
    <w:p w14:paraId="7BEFD078" w14:textId="77777777" w:rsidR="00D130CF" w:rsidRDefault="00D130CF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Satzung wird gemäß § 143 Abs. 1 BauGB mit ihrer öffentlichen Bekanntmachung rechts</w:t>
      </w:r>
      <w:r>
        <w:rPr>
          <w:rFonts w:ascii="Arial" w:hAnsi="Arial"/>
          <w:sz w:val="22"/>
        </w:rPr>
        <w:softHyphen/>
        <w:t>verbindlich.</w:t>
      </w:r>
    </w:p>
    <w:p w14:paraId="3A1D958A" w14:textId="77777777" w:rsidR="00D130CF" w:rsidRDefault="00D130CF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</w:p>
    <w:p w14:paraId="1BFE920C" w14:textId="47426070" w:rsidR="00D130CF" w:rsidRDefault="00D130CF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</w:p>
    <w:p w14:paraId="103591B5" w14:textId="0F9CCF20" w:rsidR="00D130CF" w:rsidRDefault="0052791A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Ohmden</w:t>
      </w:r>
      <w:r w:rsidR="00D130CF">
        <w:rPr>
          <w:rFonts w:ascii="Arial" w:hAnsi="Arial"/>
          <w:sz w:val="22"/>
        </w:rPr>
        <w:t>, den</w:t>
      </w:r>
      <w:r>
        <w:rPr>
          <w:rFonts w:ascii="Arial" w:hAnsi="Arial"/>
          <w:sz w:val="22"/>
        </w:rPr>
        <w:t xml:space="preserve"> 21.07.2021</w:t>
      </w:r>
    </w:p>
    <w:p w14:paraId="72237AD5" w14:textId="1327D14E" w:rsidR="00D130CF" w:rsidRDefault="0052791A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gez.</w:t>
      </w:r>
    </w:p>
    <w:p w14:paraId="562C326A" w14:textId="77777777" w:rsidR="00D130CF" w:rsidRDefault="007E58CA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Barbara Born</w:t>
      </w:r>
    </w:p>
    <w:p w14:paraId="78970238" w14:textId="77777777" w:rsidR="00D130CF" w:rsidRDefault="00D130CF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Bürgermeister</w:t>
      </w:r>
      <w:r w:rsidR="007E58CA">
        <w:rPr>
          <w:rFonts w:ascii="Arial" w:hAnsi="Arial"/>
          <w:sz w:val="22"/>
        </w:rPr>
        <w:t xml:space="preserve">in </w:t>
      </w:r>
    </w:p>
    <w:p w14:paraId="543D05E5" w14:textId="77777777" w:rsidR="00D130CF" w:rsidRDefault="00D130CF">
      <w:pPr>
        <w:tabs>
          <w:tab w:val="left" w:pos="1418"/>
        </w:tabs>
        <w:spacing w:before="0" w:line="240" w:lineRule="atLeast"/>
        <w:rPr>
          <w:rFonts w:ascii="Arial" w:hAnsi="Arial"/>
          <w:sz w:val="22"/>
        </w:rPr>
      </w:pPr>
    </w:p>
    <w:p w14:paraId="4417FD3B" w14:textId="77777777" w:rsidR="00D130CF" w:rsidRDefault="00D130CF">
      <w:pPr>
        <w:tabs>
          <w:tab w:val="left" w:pos="1418"/>
        </w:tabs>
        <w:spacing w:before="0"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Hinweise:</w:t>
      </w:r>
    </w:p>
    <w:p w14:paraId="675A8E82" w14:textId="77777777" w:rsidR="00D130CF" w:rsidRDefault="00D130CF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</w:p>
    <w:p w14:paraId="1819F569" w14:textId="77777777" w:rsidR="00D130CF" w:rsidRDefault="00D130CF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Gemäß § 215 Abs. 1 </w:t>
      </w:r>
      <w:r w:rsidR="00DB0FF0">
        <w:rPr>
          <w:rFonts w:ascii="Arial" w:hAnsi="Arial"/>
          <w:sz w:val="22"/>
        </w:rPr>
        <w:t xml:space="preserve">Nr. 1 und 3 </w:t>
      </w:r>
      <w:r>
        <w:rPr>
          <w:rFonts w:ascii="Arial" w:hAnsi="Arial"/>
          <w:sz w:val="22"/>
        </w:rPr>
        <w:t xml:space="preserve">Baugesetzbuch (BauGB) </w:t>
      </w:r>
      <w:r w:rsidR="00DB0FF0">
        <w:rPr>
          <w:rFonts w:ascii="Arial" w:hAnsi="Arial"/>
          <w:sz w:val="22"/>
        </w:rPr>
        <w:t xml:space="preserve">sind </w:t>
      </w:r>
      <w:r>
        <w:rPr>
          <w:rFonts w:ascii="Arial" w:hAnsi="Arial"/>
          <w:sz w:val="22"/>
        </w:rPr>
        <w:t xml:space="preserve">eine Verletzung der in § 214 Abs. 1 Satz 1 Nr. 1 </w:t>
      </w:r>
      <w:r w:rsidR="00DB0FF0">
        <w:rPr>
          <w:rFonts w:ascii="Arial" w:hAnsi="Arial"/>
          <w:sz w:val="22"/>
        </w:rPr>
        <w:t>bis 3</w:t>
      </w:r>
      <w:r>
        <w:rPr>
          <w:rFonts w:ascii="Arial" w:hAnsi="Arial"/>
          <w:sz w:val="22"/>
        </w:rPr>
        <w:t xml:space="preserve"> BauGB </w:t>
      </w:r>
      <w:r w:rsidR="00DB0FF0">
        <w:rPr>
          <w:rFonts w:ascii="Arial" w:hAnsi="Arial"/>
          <w:sz w:val="22"/>
        </w:rPr>
        <w:t xml:space="preserve">genannten </w:t>
      </w:r>
      <w:r>
        <w:rPr>
          <w:rFonts w:ascii="Arial" w:hAnsi="Arial"/>
          <w:sz w:val="22"/>
        </w:rPr>
        <w:t xml:space="preserve">Verfahrens- und Formvorschriften </w:t>
      </w:r>
      <w:r w:rsidR="00DB0FF0">
        <w:rPr>
          <w:rFonts w:ascii="Arial" w:hAnsi="Arial"/>
          <w:sz w:val="22"/>
        </w:rPr>
        <w:t xml:space="preserve">sowie ein nach § 214 Abs. 3 Satz 2 BauGB beachtlicher Mangel des </w:t>
      </w:r>
      <w:r>
        <w:rPr>
          <w:rFonts w:ascii="Arial" w:hAnsi="Arial"/>
          <w:sz w:val="22"/>
        </w:rPr>
        <w:t>Abwägung</w:t>
      </w:r>
      <w:r w:rsidR="00DB0FF0">
        <w:rPr>
          <w:rFonts w:ascii="Arial" w:hAnsi="Arial"/>
          <w:sz w:val="22"/>
        </w:rPr>
        <w:t>svorgangs</w:t>
      </w:r>
      <w:r>
        <w:rPr>
          <w:rFonts w:ascii="Arial" w:hAnsi="Arial"/>
          <w:sz w:val="22"/>
        </w:rPr>
        <w:t xml:space="preserve"> unbeachtlich, wenn sie nicht </w:t>
      </w:r>
      <w:r w:rsidR="00DB0FF0">
        <w:rPr>
          <w:rFonts w:ascii="Arial" w:hAnsi="Arial"/>
          <w:sz w:val="22"/>
        </w:rPr>
        <w:t xml:space="preserve">innerhalb </w:t>
      </w:r>
      <w:r w:rsidR="00A12A2A">
        <w:rPr>
          <w:rFonts w:ascii="Arial" w:hAnsi="Arial"/>
          <w:sz w:val="22"/>
        </w:rPr>
        <w:t>eines</w:t>
      </w:r>
      <w:r w:rsidR="00DB0FF0">
        <w:rPr>
          <w:rFonts w:ascii="Arial" w:hAnsi="Arial"/>
          <w:sz w:val="22"/>
        </w:rPr>
        <w:t xml:space="preserve"> Jahre</w:t>
      </w:r>
      <w:r w:rsidR="00A12A2A">
        <w:rPr>
          <w:rFonts w:ascii="Arial" w:hAnsi="Arial"/>
          <w:sz w:val="22"/>
        </w:rPr>
        <w:t>s</w:t>
      </w:r>
      <w:r w:rsidR="00DB0FF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seit Bekanntmachung der Satzung schriftlich gegenüber der</w:t>
      </w:r>
      <w:r w:rsidR="00DB0FF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Gemeinde/Stadt geltend gemacht worden sind</w:t>
      </w:r>
      <w:r w:rsidR="00DB0FF0">
        <w:rPr>
          <w:rFonts w:ascii="Arial" w:hAnsi="Arial"/>
          <w:sz w:val="22"/>
        </w:rPr>
        <w:t xml:space="preserve">. Der </w:t>
      </w:r>
      <w:r>
        <w:rPr>
          <w:rFonts w:ascii="Arial" w:hAnsi="Arial"/>
          <w:sz w:val="22"/>
        </w:rPr>
        <w:t>Sachverhalt, der die Verletzung oder den Mangel begründen soll, ist darzulegen.</w:t>
      </w:r>
    </w:p>
    <w:p w14:paraId="36E86B00" w14:textId="77777777" w:rsidR="00D130CF" w:rsidRDefault="00D130CF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</w:p>
    <w:p w14:paraId="0D5DBF23" w14:textId="77777777" w:rsidR="00BC1B82" w:rsidRPr="00BC1B82" w:rsidRDefault="00BC1B82" w:rsidP="00BC1B82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  <w:r w:rsidRPr="00BC1B82">
        <w:rPr>
          <w:rFonts w:ascii="Arial" w:hAnsi="Arial"/>
          <w:sz w:val="22"/>
        </w:rPr>
        <w:t>Gemäß §4 Abs. 4 Gemeindeordnung (GemO) für Baden-Württemberg gelten Satzungen, die unter Verletzung von Verfahrens- und Formvorschriften der GemO oder aufgrund der GemO erlassener Verfahrensvorschriften zustande gekommen sind, ein Jahr nach dieser Bekanntmachung als von Anfang an gültig zustande gekommen. Dies gilt nicht, wenn:</w:t>
      </w:r>
    </w:p>
    <w:p w14:paraId="607A56EA" w14:textId="77777777" w:rsidR="00D130CF" w:rsidRDefault="00D130CF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</w:p>
    <w:p w14:paraId="5065277F" w14:textId="77777777" w:rsidR="00D130CF" w:rsidRDefault="00D130CF">
      <w:pPr>
        <w:numPr>
          <w:ilvl w:val="0"/>
          <w:numId w:val="1"/>
        </w:num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Vorschriften über die Öffentlichkeit der Sitzung, die Genehmigung oder die Bekanntmachung der Satzung verletzt worden sind,</w:t>
      </w:r>
    </w:p>
    <w:p w14:paraId="53A920D5" w14:textId="77777777" w:rsidR="00D130CF" w:rsidRDefault="00D130CF">
      <w:pPr>
        <w:numPr>
          <w:ilvl w:val="0"/>
          <w:numId w:val="1"/>
        </w:num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Bürgermeister dem Beschluss nach § 43 GemO wegen Gesetzwidrigkeit widersprochen hat oder wenn vor Ablauf der in Satz 1 genannten Frist die Rechtsaufsichtbehörde den Beschluss beanstandet hat oder die Verletzung der Verfahrens- oder Formvorschrift gegenüber der Gemeinde unter Bezeich</w:t>
      </w:r>
      <w:r w:rsidR="00295062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ung des Sachverhalts, der die Verletzung begründen soll, schriftlich geltend gemacht worden ist.</w:t>
      </w:r>
    </w:p>
    <w:p w14:paraId="1A5D6239" w14:textId="77777777" w:rsidR="00D130CF" w:rsidRDefault="00D130CF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</w:p>
    <w:p w14:paraId="0B8DEC31" w14:textId="77777777" w:rsidR="00D130CF" w:rsidRDefault="00D130CF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Auf die Vorschriften der §§ 152 bis 156a</w:t>
      </w:r>
      <w:r w:rsidR="002A357A">
        <w:rPr>
          <w:rFonts w:ascii="Arial" w:hAnsi="Arial"/>
          <w:sz w:val="22"/>
        </w:rPr>
        <w:t xml:space="preserve"> BauGB (insbes. Ausgleichsbetrag des Eigentümers)</w:t>
      </w:r>
      <w:r>
        <w:rPr>
          <w:rFonts w:ascii="Arial" w:hAnsi="Arial"/>
          <w:sz w:val="22"/>
        </w:rPr>
        <w:t xml:space="preserve"> wird hingewiesen.</w:t>
      </w:r>
    </w:p>
    <w:p w14:paraId="5EAAD237" w14:textId="77777777" w:rsidR="00D130CF" w:rsidRDefault="00D130CF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</w:p>
    <w:p w14:paraId="5A4F6D95" w14:textId="77777777" w:rsidR="00D130CF" w:rsidRDefault="00D130CF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</w:p>
    <w:p w14:paraId="342BD2A8" w14:textId="77777777" w:rsidR="00D130CF" w:rsidRDefault="00D130CF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Weiter wird auf die Vorschriften des § 24 ff BauGB (Vorkaufsrecht für </w:t>
      </w:r>
      <w:r w:rsidRPr="002A357A">
        <w:rPr>
          <w:rFonts w:ascii="Arial" w:hAnsi="Arial"/>
          <w:sz w:val="22"/>
        </w:rPr>
        <w:t>die Gemeinde) und</w:t>
      </w:r>
      <w:r>
        <w:rPr>
          <w:rFonts w:ascii="Arial" w:hAnsi="Arial"/>
          <w:sz w:val="22"/>
        </w:rPr>
        <w:t xml:space="preserve"> auf § 144 BauGB (genehmigungspflichtige Vorhaben) hingewiesen.</w:t>
      </w:r>
    </w:p>
    <w:p w14:paraId="103D5598" w14:textId="77777777" w:rsidR="00D130CF" w:rsidRDefault="00D130CF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</w:p>
    <w:p w14:paraId="1C09648A" w14:textId="77777777" w:rsidR="00D130CF" w:rsidRDefault="00D130CF">
      <w:pPr>
        <w:tabs>
          <w:tab w:val="left" w:pos="1418"/>
        </w:tabs>
        <w:spacing w:before="0" w:line="240" w:lineRule="atLeast"/>
        <w:jc w:val="both"/>
        <w:rPr>
          <w:rFonts w:ascii="Arial" w:hAnsi="Arial"/>
          <w:sz w:val="22"/>
        </w:rPr>
      </w:pPr>
    </w:p>
    <w:sectPr w:rsidR="00D130CF">
      <w:footerReference w:type="default" r:id="rId7"/>
      <w:pgSz w:w="11907" w:h="16840"/>
      <w:pgMar w:top="1134" w:right="1247" w:bottom="56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277F" w14:textId="77777777" w:rsidR="007E58CA" w:rsidRDefault="007E58CA">
      <w:pPr>
        <w:spacing w:before="0" w:line="240" w:lineRule="auto"/>
      </w:pPr>
      <w:r>
        <w:separator/>
      </w:r>
    </w:p>
  </w:endnote>
  <w:endnote w:type="continuationSeparator" w:id="0">
    <w:p w14:paraId="04D2F658" w14:textId="77777777" w:rsidR="007E58CA" w:rsidRDefault="007E58C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9080" w14:textId="77777777" w:rsidR="00295062" w:rsidRPr="001D302A" w:rsidRDefault="00295062" w:rsidP="001D302A">
    <w:pPr>
      <w:pStyle w:val="Fuzeile"/>
      <w:rPr>
        <w:vanish/>
        <w:sz w:val="16"/>
        <w:szCs w:val="16"/>
      </w:rPr>
    </w:pPr>
    <w:r w:rsidRPr="00CA4785">
      <w:rPr>
        <w:rFonts w:ascii="Arial" w:hAnsi="Arial"/>
        <w:vanish/>
        <w:sz w:val="16"/>
        <w:szCs w:val="16"/>
      </w:rPr>
      <w:t>Version EWB</w:t>
    </w:r>
    <w:r w:rsidR="002A357A">
      <w:rPr>
        <w:rFonts w:ascii="Arial" w:hAnsi="Arial"/>
        <w:vanish/>
        <w:sz w:val="16"/>
        <w:szCs w:val="16"/>
      </w:rPr>
      <w:t xml:space="preserve"> 07.11.2002/19.04.2004/14.06.04/06.03.06</w:t>
    </w:r>
    <w:r w:rsidR="00DC5EC3">
      <w:rPr>
        <w:rFonts w:ascii="Arial" w:hAnsi="Arial"/>
        <w:vanish/>
        <w:sz w:val="16"/>
        <w:szCs w:val="16"/>
      </w:rPr>
      <w:t>/11.10.07</w:t>
    </w:r>
    <w:r w:rsidR="00730576">
      <w:rPr>
        <w:rFonts w:ascii="Arial" w:hAnsi="Arial"/>
        <w:vanish/>
        <w:sz w:val="16"/>
        <w:szCs w:val="16"/>
      </w:rPr>
      <w:t>/08.04.</w:t>
    </w:r>
    <w:r w:rsidR="00951AD6">
      <w:rPr>
        <w:rFonts w:ascii="Arial" w:hAnsi="Arial"/>
        <w:vanish/>
        <w:sz w:val="16"/>
        <w:szCs w:val="16"/>
      </w:rPr>
      <w:t>09</w:t>
    </w:r>
    <w:r w:rsidR="00730576">
      <w:rPr>
        <w:rFonts w:ascii="Arial" w:hAnsi="Arial"/>
        <w:vanish/>
        <w:sz w:val="16"/>
        <w:szCs w:val="16"/>
      </w:rPr>
      <w:t>/08.07.09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BE14" w14:textId="77777777" w:rsidR="007E58CA" w:rsidRDefault="007E58CA">
      <w:pPr>
        <w:spacing w:before="0" w:line="240" w:lineRule="auto"/>
      </w:pPr>
      <w:r>
        <w:separator/>
      </w:r>
    </w:p>
  </w:footnote>
  <w:footnote w:type="continuationSeparator" w:id="0">
    <w:p w14:paraId="22E20E01" w14:textId="77777777" w:rsidR="007E58CA" w:rsidRDefault="007E58C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4618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CA"/>
    <w:rsid w:val="00124DC0"/>
    <w:rsid w:val="00183F0B"/>
    <w:rsid w:val="001C00F5"/>
    <w:rsid w:val="001D302A"/>
    <w:rsid w:val="00295062"/>
    <w:rsid w:val="002A357A"/>
    <w:rsid w:val="00461BB4"/>
    <w:rsid w:val="0052791A"/>
    <w:rsid w:val="005C7818"/>
    <w:rsid w:val="00647B15"/>
    <w:rsid w:val="006C49A4"/>
    <w:rsid w:val="00730576"/>
    <w:rsid w:val="00736DB2"/>
    <w:rsid w:val="007E58CA"/>
    <w:rsid w:val="00882E01"/>
    <w:rsid w:val="00942203"/>
    <w:rsid w:val="00951AD6"/>
    <w:rsid w:val="009D7769"/>
    <w:rsid w:val="00A022EB"/>
    <w:rsid w:val="00A12A2A"/>
    <w:rsid w:val="00A2302F"/>
    <w:rsid w:val="00AA7DD0"/>
    <w:rsid w:val="00AB24EE"/>
    <w:rsid w:val="00B535EE"/>
    <w:rsid w:val="00B800EC"/>
    <w:rsid w:val="00BC1B82"/>
    <w:rsid w:val="00D130CF"/>
    <w:rsid w:val="00D567C2"/>
    <w:rsid w:val="00DB0FF0"/>
    <w:rsid w:val="00DC5EC3"/>
    <w:rsid w:val="00E45042"/>
    <w:rsid w:val="00E707BE"/>
    <w:rsid w:val="00E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F82C87"/>
  <w15:docId w15:val="{2EE283F1-3FA7-456C-A6A6-69762DB0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40" w:line="261" w:lineRule="atLeast"/>
    </w:pPr>
    <w:rPr>
      <w:rFonts w:ascii="Courier" w:hAnsi="Courie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E707BE"/>
    <w:rPr>
      <w:sz w:val="16"/>
      <w:szCs w:val="16"/>
    </w:rPr>
  </w:style>
  <w:style w:type="paragraph" w:styleId="Kommentartext">
    <w:name w:val="annotation text"/>
    <w:basedOn w:val="Standard"/>
    <w:semiHidden/>
    <w:rsid w:val="00E707BE"/>
    <w:rPr>
      <w:rFonts w:ascii="Times New Roman" w:hAnsi="Times New Roman"/>
      <w:sz w:val="22"/>
    </w:rPr>
  </w:style>
  <w:style w:type="paragraph" w:styleId="Kommentarthema">
    <w:name w:val="annotation subject"/>
    <w:basedOn w:val="Kommentartext"/>
    <w:next w:val="Kommentartext"/>
    <w:semiHidden/>
    <w:rsid w:val="00E707BE"/>
    <w:rPr>
      <w:b/>
      <w:bCs/>
    </w:rPr>
  </w:style>
  <w:style w:type="paragraph" w:styleId="Sprechblasentext">
    <w:name w:val="Balloon Text"/>
    <w:basedOn w:val="Standard"/>
    <w:semiHidden/>
    <w:rsid w:val="00E70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eg\vorlagen\BW\SE\Satzung\Bekanntmachung%20der%20Satzung2%20-%20jew%20g&#252;ltige%20Gesetzesfass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 der Satzung2 - jew gültige Gesetzesfassung</Template>
  <TotalTime>0</TotalTime>
  <Pages>2</Pages>
  <Words>508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der Satzung</vt:lpstr>
    </vt:vector>
  </TitlesOfParts>
  <Company>STEG Stadtentwicklung Südwest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der Satzung</dc:title>
  <dc:creator>Dauben, Elisa (die STEG)</dc:creator>
  <cp:lastModifiedBy>Katja Gicklhorn</cp:lastModifiedBy>
  <cp:revision>2</cp:revision>
  <cp:lastPrinted>2002-11-06T10:54:00Z</cp:lastPrinted>
  <dcterms:created xsi:type="dcterms:W3CDTF">2021-07-19T08:02:00Z</dcterms:created>
  <dcterms:modified xsi:type="dcterms:W3CDTF">2021-07-19T08:02:00Z</dcterms:modified>
</cp:coreProperties>
</file>