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E106" w14:textId="77777777" w:rsidR="009D3E60" w:rsidRPr="00E87123" w:rsidRDefault="009D3E60" w:rsidP="009D3E60">
      <w:pPr>
        <w:pStyle w:val="berschrift2"/>
        <w:spacing w:after="240" w:line="276" w:lineRule="auto"/>
        <w:rPr>
          <w:rFonts w:ascii="Arial" w:hAnsi="Arial" w:cs="Arial"/>
          <w:b w:val="0"/>
          <w:color w:val="auto"/>
          <w:sz w:val="24"/>
          <w:szCs w:val="24"/>
        </w:rPr>
      </w:pPr>
      <w:r w:rsidRPr="00E87123">
        <w:rPr>
          <w:rFonts w:ascii="Arial" w:hAnsi="Arial" w:cs="Arial"/>
          <w:color w:val="auto"/>
          <w:sz w:val="24"/>
          <w:szCs w:val="24"/>
        </w:rPr>
        <w:t xml:space="preserve">Bekanntmachung über die allgemeine Erteilung der sanierungsrechtlichen Genehmigung (§ 144 Abs. 3 BauGB) </w:t>
      </w:r>
    </w:p>
    <w:p w14:paraId="1C755A1B" w14:textId="77777777" w:rsidR="009D3E60" w:rsidRPr="009546E6" w:rsidRDefault="009D3E60" w:rsidP="009D3E60">
      <w:pPr>
        <w:pStyle w:val="Kopfzeile"/>
        <w:spacing w:after="240" w:line="276" w:lineRule="auto"/>
        <w:jc w:val="both"/>
        <w:rPr>
          <w:rFonts w:ascii="Arial" w:hAnsi="Arial" w:cs="Arial"/>
          <w:b/>
          <w:sz w:val="20"/>
          <w:szCs w:val="20"/>
        </w:rPr>
      </w:pPr>
      <w:r w:rsidRPr="009546E6">
        <w:rPr>
          <w:rFonts w:ascii="Arial" w:hAnsi="Arial" w:cs="Arial"/>
          <w:b/>
          <w:sz w:val="20"/>
          <w:szCs w:val="20"/>
        </w:rPr>
        <w:t>Bekanntmachung der Allgemeinverfügung vom „</w:t>
      </w:r>
      <w:r w:rsidR="000002A4" w:rsidRPr="009546E6">
        <w:rPr>
          <w:rFonts w:ascii="Arial" w:hAnsi="Arial" w:cs="Arial"/>
          <w:b/>
          <w:sz w:val="20"/>
          <w:szCs w:val="20"/>
        </w:rPr>
        <w:t>27.09.2021</w:t>
      </w:r>
      <w:r w:rsidR="0044331F" w:rsidRPr="009546E6">
        <w:rPr>
          <w:rFonts w:ascii="Arial" w:hAnsi="Arial" w:cs="Arial"/>
          <w:b/>
          <w:sz w:val="20"/>
          <w:szCs w:val="20"/>
        </w:rPr>
        <w:t>“</w:t>
      </w:r>
      <w:r w:rsidRPr="009546E6">
        <w:rPr>
          <w:rFonts w:ascii="Arial" w:hAnsi="Arial" w:cs="Arial"/>
          <w:b/>
          <w:sz w:val="20"/>
          <w:szCs w:val="20"/>
        </w:rPr>
        <w:t xml:space="preserve"> der „Gemeinde </w:t>
      </w:r>
      <w:proofErr w:type="spellStart"/>
      <w:r w:rsidRPr="009546E6">
        <w:rPr>
          <w:rFonts w:ascii="Arial" w:hAnsi="Arial" w:cs="Arial"/>
          <w:b/>
          <w:sz w:val="20"/>
          <w:szCs w:val="20"/>
        </w:rPr>
        <w:t>Ohmden</w:t>
      </w:r>
      <w:proofErr w:type="spellEnd"/>
      <w:r w:rsidRPr="009546E6">
        <w:rPr>
          <w:rFonts w:ascii="Arial" w:hAnsi="Arial" w:cs="Arial"/>
          <w:b/>
          <w:sz w:val="20"/>
          <w:szCs w:val="20"/>
        </w:rPr>
        <w:t>" über die allgemeine Erteilung der sanierungsrechtlichen Genehmigung (§ 144 Abs. 3 BauGB) für das förmlich festgelegte Sanierungsgebiet „Ortsmitte"</w:t>
      </w:r>
    </w:p>
    <w:p w14:paraId="5D0E76C1" w14:textId="77777777" w:rsidR="00C44917" w:rsidRPr="009546E6" w:rsidRDefault="009D3E60" w:rsidP="009D3E60">
      <w:pPr>
        <w:pStyle w:val="Kopfzeile"/>
        <w:spacing w:line="276" w:lineRule="auto"/>
        <w:jc w:val="both"/>
        <w:rPr>
          <w:rFonts w:ascii="Arial" w:hAnsi="Arial" w:cs="Arial"/>
          <w:sz w:val="20"/>
          <w:szCs w:val="20"/>
        </w:rPr>
      </w:pPr>
      <w:r w:rsidRPr="009546E6">
        <w:rPr>
          <w:rFonts w:ascii="Arial" w:hAnsi="Arial" w:cs="Arial"/>
          <w:sz w:val="20"/>
          <w:szCs w:val="20"/>
        </w:rPr>
        <w:t xml:space="preserve">Auf der Grundlage des § 144 Abs. 3 Baugesetzbuch (BauGB) werden unter dem Vorbehalt des jederzeitigen Widerrufs nach Maßgabe des § 49 VwVfG für das mit Satzung vom </w:t>
      </w:r>
      <w:r w:rsidRPr="009546E6">
        <w:rPr>
          <w:rFonts w:ascii="Arial" w:hAnsi="Arial" w:cs="Arial"/>
          <w:sz w:val="20"/>
          <w:szCs w:val="20"/>
          <w:highlight w:val="lightGray"/>
        </w:rPr>
        <w:t>„</w:t>
      </w:r>
      <w:r w:rsidR="003C2449" w:rsidRPr="009546E6">
        <w:rPr>
          <w:rFonts w:ascii="Arial" w:hAnsi="Arial" w:cs="Arial"/>
          <w:sz w:val="20"/>
          <w:szCs w:val="20"/>
          <w:highlight w:val="lightGray"/>
        </w:rPr>
        <w:t>22.07.2021</w:t>
      </w:r>
      <w:r w:rsidRPr="009546E6">
        <w:rPr>
          <w:rFonts w:ascii="Arial" w:hAnsi="Arial" w:cs="Arial"/>
          <w:sz w:val="20"/>
          <w:szCs w:val="20"/>
          <w:highlight w:val="lightGray"/>
        </w:rPr>
        <w:t>"</w:t>
      </w:r>
      <w:r w:rsidRPr="009546E6">
        <w:rPr>
          <w:rFonts w:ascii="Arial" w:hAnsi="Arial" w:cs="Arial"/>
          <w:sz w:val="20"/>
          <w:szCs w:val="20"/>
        </w:rPr>
        <w:t xml:space="preserve"> förmlich festgelegte Sanierungsgebiet </w:t>
      </w:r>
      <w:r w:rsidRPr="009546E6">
        <w:rPr>
          <w:rFonts w:ascii="Arial" w:hAnsi="Arial" w:cs="Arial"/>
          <w:sz w:val="20"/>
          <w:szCs w:val="20"/>
          <w:highlight w:val="lightGray"/>
        </w:rPr>
        <w:t>„Ortsmitte"</w:t>
      </w:r>
    </w:p>
    <w:p w14:paraId="0EEEA5C1" w14:textId="77777777" w:rsidR="009546E6" w:rsidRPr="009546E6" w:rsidRDefault="009546E6" w:rsidP="009D3E60">
      <w:pPr>
        <w:pStyle w:val="Kopfzeile"/>
        <w:spacing w:line="276" w:lineRule="auto"/>
        <w:jc w:val="both"/>
        <w:rPr>
          <w:rFonts w:ascii="Arial" w:hAnsi="Arial" w:cs="Arial"/>
          <w:sz w:val="20"/>
          <w:szCs w:val="20"/>
        </w:rPr>
      </w:pPr>
    </w:p>
    <w:p w14:paraId="74599635" w14:textId="77777777" w:rsidR="003C2449" w:rsidRPr="00E87123" w:rsidRDefault="003C2449" w:rsidP="003C2449">
      <w:pPr>
        <w:pStyle w:val="Kopfzeile"/>
        <w:numPr>
          <w:ilvl w:val="0"/>
          <w:numId w:val="7"/>
        </w:numPr>
        <w:spacing w:line="276" w:lineRule="auto"/>
        <w:jc w:val="both"/>
        <w:rPr>
          <w:rFonts w:ascii="Arial" w:hAnsi="Arial" w:cs="Arial"/>
          <w:sz w:val="20"/>
          <w:szCs w:val="20"/>
        </w:rPr>
      </w:pPr>
      <w:r w:rsidRPr="00E87123">
        <w:rPr>
          <w:rFonts w:ascii="Arial" w:hAnsi="Arial" w:cs="Arial"/>
          <w:sz w:val="20"/>
          <w:szCs w:val="20"/>
        </w:rPr>
        <w:t xml:space="preserve">die in § 14 Abs. 1 bezeichneten Vorhaben und sonstige Maßnahmen (z.B. Errichtung, Änderung oder Nutzungsänderung von baulichen Anlagen) </w:t>
      </w:r>
    </w:p>
    <w:p w14:paraId="2BE458D4"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die sanierungsrechtliche Genehmigung für Vereinbarungen, durch die ein schuldrechtliches Vertragsverhältnis über den Gebrauch oder die Nutzung eines Grundstücks, Gebäudes oder Gebäudeteils auf bestimmte Zeit von mehr als einem Jahr eingegangen oder verlängert wird (§ 144 Abs. 1 Nr. 2 BauGB)</w:t>
      </w:r>
      <w:r w:rsidR="003C2449" w:rsidRPr="009546E6">
        <w:rPr>
          <w:rFonts w:ascii="Arial" w:hAnsi="Arial" w:cs="Arial"/>
          <w:sz w:val="20"/>
          <w:szCs w:val="20"/>
        </w:rPr>
        <w:t xml:space="preserve"> </w:t>
      </w:r>
      <w:r w:rsidR="0044331F" w:rsidRPr="009546E6">
        <w:rPr>
          <w:rFonts w:ascii="Arial" w:hAnsi="Arial" w:cs="Arial"/>
          <w:sz w:val="20"/>
          <w:szCs w:val="20"/>
        </w:rPr>
        <w:t xml:space="preserve"> </w:t>
      </w:r>
    </w:p>
    <w:p w14:paraId="7230944E"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die sanierungsrechtliche Genehmigung für die rechtsgeschäftliche Veräußerung eines Grundstücks und die Bestellung und Veräußerung eines Erbbaurechts (§ 144 Abs. 2 Nr. 1 BauGB),</w:t>
      </w:r>
    </w:p>
    <w:p w14:paraId="4CB665A1"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die sanierungsrechtliche Genehmigung für die Bestellung eines das Grundstück belastenden Rechts (§ 144</w:t>
      </w:r>
      <w:r w:rsidR="003C2449" w:rsidRPr="009546E6">
        <w:rPr>
          <w:rFonts w:ascii="Arial" w:hAnsi="Arial" w:cs="Arial"/>
          <w:sz w:val="20"/>
          <w:szCs w:val="20"/>
        </w:rPr>
        <w:t xml:space="preserve"> Abs. 2 Nr. 2 BauGB)</w:t>
      </w:r>
      <w:r w:rsidR="0044331F" w:rsidRPr="009546E6">
        <w:rPr>
          <w:rFonts w:ascii="Arial" w:hAnsi="Arial" w:cs="Arial"/>
          <w:sz w:val="20"/>
          <w:szCs w:val="20"/>
        </w:rPr>
        <w:t xml:space="preserve"> </w:t>
      </w:r>
    </w:p>
    <w:p w14:paraId="0C659D8B"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die sanierungsrechtliche Genehmigung für einen schuldrechtlichen Vertrag, durch den eine Verpflichtung zu einem der in § 144 Abs. 2 Nr. 1 oder Nr. 2 genannten Rechtsgeschäfte begründet wird; ist der schuldrechtliche Vertrag genehmigt worden, gilt auch das in Ausführung dieses Vertrags vorgenommene dingliche Rechtsgeschäft als genehmigt (§ 144 Abs. 3 BauGB),</w:t>
      </w:r>
    </w:p>
    <w:p w14:paraId="31599EFC"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 xml:space="preserve">die sanierungsrechtliche Genehmigung für die Begründung, Änderung oder Aufhebung einer Baulast (§ 144 Abs. 2 Nr. 4 BauGB) sowie </w:t>
      </w:r>
    </w:p>
    <w:p w14:paraId="5634F9F2" w14:textId="77777777" w:rsidR="009D3E60" w:rsidRPr="009546E6" w:rsidRDefault="009D3E60" w:rsidP="009D3E60">
      <w:pPr>
        <w:pStyle w:val="Kopfzeile"/>
        <w:numPr>
          <w:ilvl w:val="0"/>
          <w:numId w:val="7"/>
        </w:numPr>
        <w:spacing w:line="276" w:lineRule="auto"/>
        <w:jc w:val="both"/>
        <w:rPr>
          <w:rFonts w:ascii="Arial" w:hAnsi="Arial" w:cs="Arial"/>
          <w:sz w:val="20"/>
          <w:szCs w:val="20"/>
        </w:rPr>
      </w:pPr>
      <w:r w:rsidRPr="009546E6">
        <w:rPr>
          <w:rFonts w:ascii="Arial" w:hAnsi="Arial" w:cs="Arial"/>
          <w:sz w:val="20"/>
          <w:szCs w:val="20"/>
        </w:rPr>
        <w:t>die sanierungsrechtliche Genehmigung für die Teilung eines Grundstücks (§ 144 Abs. 2 Nr. 5 BauGB)</w:t>
      </w:r>
    </w:p>
    <w:p w14:paraId="49658EEE" w14:textId="77777777" w:rsidR="000002A4" w:rsidRPr="009546E6" w:rsidRDefault="009D3E60" w:rsidP="009D3E60">
      <w:pPr>
        <w:pStyle w:val="Kopfzeile"/>
        <w:spacing w:after="240" w:line="276" w:lineRule="auto"/>
        <w:jc w:val="both"/>
        <w:rPr>
          <w:rFonts w:ascii="Arial" w:hAnsi="Arial" w:cs="Arial"/>
          <w:b/>
          <w:sz w:val="20"/>
          <w:szCs w:val="20"/>
        </w:rPr>
      </w:pPr>
      <w:r w:rsidRPr="009546E6">
        <w:rPr>
          <w:rFonts w:ascii="Arial" w:hAnsi="Arial" w:cs="Arial"/>
          <w:b/>
          <w:sz w:val="20"/>
          <w:szCs w:val="20"/>
        </w:rPr>
        <w:t>allgemein erteilt.</w:t>
      </w:r>
    </w:p>
    <w:p w14:paraId="58292E61" w14:textId="77777777" w:rsidR="000002A4" w:rsidRPr="009546E6" w:rsidRDefault="000002A4" w:rsidP="00E87123">
      <w:pPr>
        <w:pStyle w:val="Kopfzeile"/>
        <w:spacing w:line="276" w:lineRule="auto"/>
        <w:jc w:val="both"/>
        <w:rPr>
          <w:rFonts w:ascii="Arial" w:hAnsi="Arial" w:cs="Arial"/>
          <w:b/>
          <w:sz w:val="20"/>
          <w:szCs w:val="20"/>
        </w:rPr>
      </w:pPr>
      <w:r w:rsidRPr="009546E6">
        <w:rPr>
          <w:rFonts w:ascii="Arial" w:hAnsi="Arial" w:cs="Arial"/>
          <w:b/>
          <w:sz w:val="20"/>
          <w:szCs w:val="20"/>
        </w:rPr>
        <w:t>Widerrufsvorbehalt</w:t>
      </w:r>
    </w:p>
    <w:p w14:paraId="3EE52AFC" w14:textId="77777777" w:rsidR="000002A4" w:rsidRPr="009546E6" w:rsidRDefault="000002A4" w:rsidP="00E87123">
      <w:pPr>
        <w:pStyle w:val="Kopfzeile"/>
        <w:spacing w:line="276" w:lineRule="auto"/>
        <w:jc w:val="both"/>
        <w:rPr>
          <w:rFonts w:ascii="Arial" w:hAnsi="Arial" w:cs="Arial"/>
          <w:sz w:val="20"/>
          <w:szCs w:val="20"/>
        </w:rPr>
      </w:pPr>
      <w:r w:rsidRPr="009546E6">
        <w:rPr>
          <w:rFonts w:ascii="Arial" w:hAnsi="Arial" w:cs="Arial"/>
          <w:sz w:val="20"/>
          <w:szCs w:val="20"/>
        </w:rPr>
        <w:t>Diese Allgemeinverfügung kann ganz oder teilweise widerrufen werden</w:t>
      </w:r>
    </w:p>
    <w:p w14:paraId="78AEE707" w14:textId="77777777" w:rsidR="000002A4" w:rsidRPr="009546E6" w:rsidRDefault="000002A4" w:rsidP="00E87123">
      <w:pPr>
        <w:pStyle w:val="Kopfzeile"/>
        <w:spacing w:line="276" w:lineRule="auto"/>
        <w:jc w:val="both"/>
        <w:rPr>
          <w:rFonts w:ascii="Arial" w:hAnsi="Arial" w:cs="Arial"/>
          <w:b/>
          <w:sz w:val="20"/>
          <w:szCs w:val="20"/>
        </w:rPr>
      </w:pPr>
      <w:r w:rsidRPr="009546E6">
        <w:rPr>
          <w:rFonts w:ascii="Arial" w:hAnsi="Arial" w:cs="Arial"/>
          <w:b/>
          <w:sz w:val="20"/>
          <w:szCs w:val="20"/>
        </w:rPr>
        <w:t>Inkrafttreten</w:t>
      </w:r>
    </w:p>
    <w:p w14:paraId="68E1DD71" w14:textId="77777777" w:rsidR="009D3E60" w:rsidRPr="009546E6" w:rsidRDefault="009D3E60" w:rsidP="00E87123">
      <w:pPr>
        <w:pStyle w:val="Kopfzeile"/>
        <w:spacing w:line="276" w:lineRule="auto"/>
        <w:jc w:val="both"/>
        <w:rPr>
          <w:rFonts w:ascii="Arial" w:hAnsi="Arial" w:cs="Arial"/>
          <w:sz w:val="20"/>
          <w:szCs w:val="20"/>
        </w:rPr>
      </w:pPr>
      <w:r w:rsidRPr="009546E6">
        <w:rPr>
          <w:rFonts w:ascii="Arial" w:hAnsi="Arial" w:cs="Arial"/>
          <w:sz w:val="20"/>
          <w:szCs w:val="20"/>
        </w:rPr>
        <w:t xml:space="preserve">Diese Allgemeinverfügung </w:t>
      </w:r>
      <w:r w:rsidR="000002A4" w:rsidRPr="009546E6">
        <w:rPr>
          <w:rFonts w:ascii="Arial" w:hAnsi="Arial" w:cs="Arial"/>
          <w:sz w:val="20"/>
          <w:szCs w:val="20"/>
        </w:rPr>
        <w:t>tritt am Tage nach ihrer Bekanntmachung in Kraft</w:t>
      </w:r>
    </w:p>
    <w:p w14:paraId="0585328E" w14:textId="77777777" w:rsidR="00E87123" w:rsidRDefault="00E87123" w:rsidP="009D3E60">
      <w:pPr>
        <w:pStyle w:val="Kopfzeile"/>
        <w:spacing w:line="276" w:lineRule="auto"/>
        <w:jc w:val="both"/>
        <w:rPr>
          <w:rFonts w:ascii="Arial" w:hAnsi="Arial" w:cs="Arial"/>
          <w:i/>
          <w:sz w:val="20"/>
          <w:szCs w:val="20"/>
          <w:u w:val="single"/>
        </w:rPr>
      </w:pPr>
    </w:p>
    <w:p w14:paraId="3BF93974" w14:textId="4EED6D41" w:rsidR="009D3E60" w:rsidRPr="00E87123" w:rsidRDefault="009D3E60" w:rsidP="009D3E60">
      <w:pPr>
        <w:pStyle w:val="Kopfzeile"/>
        <w:spacing w:line="276" w:lineRule="auto"/>
        <w:jc w:val="both"/>
        <w:rPr>
          <w:rFonts w:ascii="Arial" w:hAnsi="Arial" w:cs="Arial"/>
          <w:i/>
          <w:sz w:val="20"/>
          <w:szCs w:val="20"/>
          <w:u w:val="single"/>
        </w:rPr>
      </w:pPr>
      <w:r w:rsidRPr="00E87123">
        <w:rPr>
          <w:rFonts w:ascii="Arial" w:hAnsi="Arial" w:cs="Arial"/>
          <w:i/>
          <w:sz w:val="20"/>
          <w:szCs w:val="20"/>
          <w:u w:val="single"/>
        </w:rPr>
        <w:t>Rechtsbehelfsbelehrung</w:t>
      </w:r>
    </w:p>
    <w:p w14:paraId="7B45FF87" w14:textId="77777777" w:rsidR="00E87123" w:rsidRPr="00E87123" w:rsidRDefault="00E87123" w:rsidP="00E87123">
      <w:pPr>
        <w:autoSpaceDE w:val="0"/>
        <w:autoSpaceDN w:val="0"/>
        <w:adjustRightInd w:val="0"/>
        <w:spacing w:after="0"/>
        <w:rPr>
          <w:rFonts w:ascii="Arial" w:hAnsi="Arial" w:cs="Arial"/>
          <w:sz w:val="20"/>
          <w:szCs w:val="20"/>
        </w:rPr>
      </w:pPr>
      <w:r w:rsidRPr="00E87123">
        <w:rPr>
          <w:rFonts w:ascii="Arial" w:hAnsi="Arial" w:cs="Arial"/>
          <w:sz w:val="20"/>
          <w:szCs w:val="20"/>
        </w:rPr>
        <w:t xml:space="preserve">Gegen diesen Bescheid kann innerhalb eines Monats nach seiner Bekanntgabe bei der Gemeinde </w:t>
      </w:r>
      <w:proofErr w:type="spellStart"/>
      <w:r w:rsidRPr="00E87123">
        <w:rPr>
          <w:rFonts w:ascii="Arial" w:hAnsi="Arial" w:cs="Arial"/>
          <w:sz w:val="20"/>
          <w:szCs w:val="20"/>
        </w:rPr>
        <w:t>Ohmden</w:t>
      </w:r>
      <w:proofErr w:type="spellEnd"/>
      <w:r w:rsidRPr="00E87123">
        <w:rPr>
          <w:rFonts w:ascii="Arial" w:hAnsi="Arial" w:cs="Arial"/>
          <w:sz w:val="20"/>
          <w:szCs w:val="20"/>
        </w:rPr>
        <w:t xml:space="preserve">, Hauptstraße 18 in 73275 </w:t>
      </w:r>
      <w:proofErr w:type="spellStart"/>
      <w:r w:rsidRPr="00E87123">
        <w:rPr>
          <w:rFonts w:ascii="Arial" w:hAnsi="Arial" w:cs="Arial"/>
          <w:sz w:val="20"/>
          <w:szCs w:val="20"/>
        </w:rPr>
        <w:t>Ohmden</w:t>
      </w:r>
      <w:proofErr w:type="spellEnd"/>
      <w:r w:rsidRPr="00E87123">
        <w:rPr>
          <w:rFonts w:ascii="Arial" w:hAnsi="Arial" w:cs="Arial"/>
          <w:sz w:val="20"/>
          <w:szCs w:val="20"/>
        </w:rPr>
        <w:t xml:space="preserve"> oder beim Landratsamt Esslingen, Pulverwiesen 11 in 73728 Esslingen am Neckar schriftlich oder mündlich zur Niederschrift</w:t>
      </w:r>
    </w:p>
    <w:p w14:paraId="4768E537" w14:textId="77777777" w:rsidR="00E87123" w:rsidRPr="00E87123" w:rsidRDefault="00E87123" w:rsidP="00E87123">
      <w:pPr>
        <w:autoSpaceDE w:val="0"/>
        <w:autoSpaceDN w:val="0"/>
        <w:adjustRightInd w:val="0"/>
        <w:spacing w:after="0"/>
        <w:rPr>
          <w:rFonts w:ascii="Arial" w:hAnsi="Arial" w:cs="Arial"/>
          <w:sz w:val="20"/>
          <w:szCs w:val="20"/>
        </w:rPr>
      </w:pPr>
      <w:r w:rsidRPr="00E87123">
        <w:rPr>
          <w:rFonts w:ascii="Arial" w:hAnsi="Arial" w:cs="Arial"/>
          <w:sz w:val="20"/>
          <w:szCs w:val="20"/>
        </w:rPr>
        <w:t xml:space="preserve">Widerspruch erhoben werden. </w:t>
      </w:r>
    </w:p>
    <w:p w14:paraId="631DE537" w14:textId="77777777" w:rsidR="009D3E60" w:rsidRPr="009546E6" w:rsidRDefault="009D3E60" w:rsidP="009D3E60">
      <w:pPr>
        <w:pStyle w:val="Kopfzeile"/>
        <w:spacing w:after="240" w:line="276" w:lineRule="auto"/>
        <w:jc w:val="both"/>
        <w:rPr>
          <w:rFonts w:ascii="Arial" w:hAnsi="Arial" w:cs="Arial"/>
          <w:i/>
          <w:sz w:val="20"/>
          <w:szCs w:val="20"/>
        </w:rPr>
      </w:pPr>
    </w:p>
    <w:p w14:paraId="2851E369" w14:textId="78FAC1BF" w:rsidR="00E87123" w:rsidRDefault="00E87123" w:rsidP="009D3E60">
      <w:pPr>
        <w:pStyle w:val="Kopfzeile"/>
        <w:spacing w:after="240" w:line="276" w:lineRule="auto"/>
        <w:jc w:val="both"/>
        <w:rPr>
          <w:rFonts w:ascii="Arial" w:hAnsi="Arial" w:cs="Arial"/>
          <w:sz w:val="20"/>
          <w:szCs w:val="20"/>
          <w:highlight w:val="lightGray"/>
        </w:rPr>
      </w:pPr>
      <w:proofErr w:type="spellStart"/>
      <w:r w:rsidRPr="00E87123">
        <w:rPr>
          <w:rFonts w:ascii="Arial" w:hAnsi="Arial" w:cs="Arial"/>
          <w:sz w:val="20"/>
          <w:szCs w:val="20"/>
          <w:highlight w:val="lightGray"/>
        </w:rPr>
        <w:t>Ohmden</w:t>
      </w:r>
      <w:proofErr w:type="spellEnd"/>
      <w:r w:rsidRPr="00E87123">
        <w:rPr>
          <w:rFonts w:ascii="Arial" w:hAnsi="Arial" w:cs="Arial"/>
          <w:sz w:val="20"/>
          <w:szCs w:val="20"/>
          <w:highlight w:val="lightGray"/>
        </w:rPr>
        <w:t>, den</w:t>
      </w:r>
      <w:r w:rsidR="00AA144E">
        <w:rPr>
          <w:rFonts w:ascii="Arial" w:hAnsi="Arial" w:cs="Arial"/>
          <w:sz w:val="20"/>
          <w:szCs w:val="20"/>
          <w:highlight w:val="lightGray"/>
        </w:rPr>
        <w:t xml:space="preserve"> 28.09.2021</w:t>
      </w:r>
    </w:p>
    <w:p w14:paraId="218E7AAC" w14:textId="0B5C0750" w:rsidR="00E87123" w:rsidRDefault="00E87123" w:rsidP="00E87123">
      <w:pPr>
        <w:pStyle w:val="Kopfzeile"/>
        <w:spacing w:line="276" w:lineRule="auto"/>
        <w:jc w:val="both"/>
        <w:rPr>
          <w:rFonts w:ascii="Arial" w:hAnsi="Arial" w:cs="Arial"/>
          <w:sz w:val="20"/>
          <w:szCs w:val="20"/>
          <w:highlight w:val="lightGray"/>
        </w:rPr>
      </w:pPr>
      <w:r>
        <w:rPr>
          <w:rFonts w:ascii="Arial" w:hAnsi="Arial" w:cs="Arial"/>
          <w:sz w:val="20"/>
          <w:szCs w:val="20"/>
          <w:highlight w:val="lightGray"/>
        </w:rPr>
        <w:t>gez.</w:t>
      </w:r>
    </w:p>
    <w:p w14:paraId="6797C56A" w14:textId="77777777" w:rsidR="00E87123" w:rsidRDefault="00E87123" w:rsidP="00E87123">
      <w:pPr>
        <w:pStyle w:val="Kopfzeile"/>
        <w:spacing w:line="276" w:lineRule="auto"/>
        <w:jc w:val="both"/>
        <w:rPr>
          <w:rFonts w:ascii="Arial" w:hAnsi="Arial" w:cs="Arial"/>
          <w:sz w:val="20"/>
          <w:szCs w:val="20"/>
          <w:highlight w:val="lightGray"/>
        </w:rPr>
      </w:pPr>
      <w:r>
        <w:rPr>
          <w:rFonts w:ascii="Arial" w:hAnsi="Arial" w:cs="Arial"/>
          <w:sz w:val="20"/>
          <w:szCs w:val="20"/>
          <w:highlight w:val="lightGray"/>
        </w:rPr>
        <w:t>Barbara Born</w:t>
      </w:r>
    </w:p>
    <w:p w14:paraId="5456201D" w14:textId="61F12031" w:rsidR="009D3E60" w:rsidRDefault="00E87123" w:rsidP="00E87123">
      <w:pPr>
        <w:pStyle w:val="Kopfzeile"/>
        <w:spacing w:line="276" w:lineRule="auto"/>
        <w:jc w:val="both"/>
        <w:rPr>
          <w:rFonts w:ascii="Arial" w:hAnsi="Arial" w:cs="Arial"/>
          <w:sz w:val="20"/>
          <w:szCs w:val="20"/>
        </w:rPr>
      </w:pPr>
      <w:r>
        <w:rPr>
          <w:rFonts w:ascii="Arial" w:hAnsi="Arial" w:cs="Arial"/>
          <w:sz w:val="20"/>
          <w:szCs w:val="20"/>
          <w:highlight w:val="lightGray"/>
        </w:rPr>
        <w:t>Bürgermeisterin</w:t>
      </w:r>
      <w:r w:rsidR="009D3E60" w:rsidRPr="00E87123">
        <w:rPr>
          <w:rFonts w:ascii="Arial" w:hAnsi="Arial" w:cs="Arial"/>
          <w:sz w:val="20"/>
          <w:szCs w:val="20"/>
          <w:highlight w:val="lightGray"/>
        </w:rPr>
        <w:t xml:space="preserve"> </w:t>
      </w:r>
    </w:p>
    <w:p w14:paraId="7A6CD0E3" w14:textId="77777777" w:rsidR="00E87123" w:rsidRPr="00E87123" w:rsidRDefault="00E87123" w:rsidP="00E87123">
      <w:pPr>
        <w:pStyle w:val="Kopfzeile"/>
        <w:spacing w:line="276" w:lineRule="auto"/>
        <w:jc w:val="both"/>
        <w:rPr>
          <w:rFonts w:ascii="Arial" w:hAnsi="Arial" w:cs="Arial"/>
          <w:sz w:val="20"/>
          <w:szCs w:val="20"/>
        </w:rPr>
      </w:pPr>
    </w:p>
    <w:p w14:paraId="071AD8AC" w14:textId="77777777" w:rsidR="009D3E60" w:rsidRPr="009546E6" w:rsidRDefault="009D3E60" w:rsidP="009D3E60">
      <w:pPr>
        <w:pStyle w:val="Kopfzeile"/>
        <w:spacing w:after="240" w:line="276" w:lineRule="auto"/>
        <w:jc w:val="both"/>
        <w:rPr>
          <w:rFonts w:ascii="Arial" w:hAnsi="Arial" w:cs="Arial"/>
          <w:sz w:val="20"/>
          <w:szCs w:val="20"/>
        </w:rPr>
      </w:pPr>
      <w:r w:rsidRPr="009546E6">
        <w:rPr>
          <w:rFonts w:ascii="Arial" w:hAnsi="Arial" w:cs="Arial"/>
          <w:sz w:val="20"/>
          <w:szCs w:val="20"/>
        </w:rPr>
        <w:t>Anlage: Lageplan Sanierungsgebiet</w:t>
      </w:r>
    </w:p>
    <w:p w14:paraId="2BF6F3AF" w14:textId="77777777" w:rsidR="0033422A" w:rsidRPr="009546E6" w:rsidRDefault="0033422A" w:rsidP="003C61BC">
      <w:pPr>
        <w:pStyle w:val="Kopfzeile"/>
        <w:rPr>
          <w:rFonts w:ascii="Arial" w:hAnsi="Arial" w:cs="Arial"/>
        </w:rPr>
      </w:pPr>
    </w:p>
    <w:sectPr w:rsidR="0033422A" w:rsidRPr="009546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48D4" w14:textId="77777777" w:rsidR="00966D67" w:rsidRDefault="00966D67" w:rsidP="00825975">
      <w:pPr>
        <w:spacing w:after="0" w:line="240" w:lineRule="auto"/>
      </w:pPr>
      <w:r>
        <w:separator/>
      </w:r>
    </w:p>
  </w:endnote>
  <w:endnote w:type="continuationSeparator" w:id="0">
    <w:p w14:paraId="00F235E8" w14:textId="77777777" w:rsidR="00966D67" w:rsidRDefault="00966D67" w:rsidP="008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F290" w14:textId="77777777" w:rsidR="00966D67" w:rsidRDefault="00966D67" w:rsidP="00825975">
      <w:pPr>
        <w:spacing w:after="0" w:line="240" w:lineRule="auto"/>
      </w:pPr>
      <w:r>
        <w:separator/>
      </w:r>
    </w:p>
  </w:footnote>
  <w:footnote w:type="continuationSeparator" w:id="0">
    <w:p w14:paraId="7F380FBB" w14:textId="77777777" w:rsidR="00966D67" w:rsidRDefault="00966D67" w:rsidP="0082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663C9A"/>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87C29D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A13C6"/>
    <w:multiLevelType w:val="hybridMultilevel"/>
    <w:tmpl w:val="692C1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BA3C9C"/>
    <w:multiLevelType w:val="hybridMultilevel"/>
    <w:tmpl w:val="C902D71E"/>
    <w:lvl w:ilvl="0" w:tplc="AD66941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60"/>
    <w:rsid w:val="000002A4"/>
    <w:rsid w:val="0024243E"/>
    <w:rsid w:val="0025611B"/>
    <w:rsid w:val="00292E0F"/>
    <w:rsid w:val="0033422A"/>
    <w:rsid w:val="003C2449"/>
    <w:rsid w:val="003C61BC"/>
    <w:rsid w:val="003D1B2A"/>
    <w:rsid w:val="004160ED"/>
    <w:rsid w:val="0044331F"/>
    <w:rsid w:val="00613D31"/>
    <w:rsid w:val="00825975"/>
    <w:rsid w:val="009546E6"/>
    <w:rsid w:val="00966D67"/>
    <w:rsid w:val="009D3E60"/>
    <w:rsid w:val="00AA144E"/>
    <w:rsid w:val="00B50EA9"/>
    <w:rsid w:val="00B7317F"/>
    <w:rsid w:val="00C44917"/>
    <w:rsid w:val="00CD55B1"/>
    <w:rsid w:val="00E34349"/>
    <w:rsid w:val="00E87123"/>
    <w:rsid w:val="00F35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BC34"/>
  <w15:chartTrackingRefBased/>
  <w15:docId w15:val="{F33B95FB-617F-4D82-8D7A-BA97A1B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E60"/>
    <w:pPr>
      <w:spacing w:after="160" w:line="259" w:lineRule="auto"/>
    </w:pPr>
    <w:rPr>
      <w:rFonts w:eastAsiaTheme="minorEastAsia"/>
    </w:rPr>
  </w:style>
  <w:style w:type="paragraph" w:styleId="berschrift1">
    <w:name w:val="heading 1"/>
    <w:basedOn w:val="Standard"/>
    <w:next w:val="Standard"/>
    <w:link w:val="berschrift1Zchn"/>
    <w:uiPriority w:val="9"/>
    <w:rsid w:val="00613D3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50EA9"/>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1BC"/>
    <w:rPr>
      <w:rFonts w:ascii="Arial" w:hAnsi="Arial"/>
    </w:rPr>
  </w:style>
  <w:style w:type="paragraph" w:styleId="Fuzeile">
    <w:name w:val="footer"/>
    <w:basedOn w:val="Standard"/>
    <w:link w:val="FuzeileZchn"/>
    <w:uiPriority w:val="99"/>
    <w:unhideWhenUsed/>
    <w:rsid w:val="003C6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1BC"/>
    <w:rPr>
      <w:rFonts w:ascii="Arial" w:hAnsi="Arial"/>
    </w:rPr>
  </w:style>
  <w:style w:type="paragraph" w:styleId="Sprechblasentext">
    <w:name w:val="Balloon Text"/>
    <w:basedOn w:val="Standard"/>
    <w:link w:val="SprechblasentextZchn"/>
    <w:uiPriority w:val="99"/>
    <w:semiHidden/>
    <w:unhideWhenUsed/>
    <w:rsid w:val="0082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975"/>
    <w:rPr>
      <w:rFonts w:ascii="Tahoma" w:hAnsi="Tahoma" w:cs="Tahoma"/>
      <w:sz w:val="16"/>
      <w:szCs w:val="16"/>
    </w:rPr>
  </w:style>
  <w:style w:type="paragraph" w:styleId="KeinLeerraum">
    <w:name w:val="No Spacing"/>
    <w:uiPriority w:val="1"/>
    <w:rsid w:val="00613D31"/>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613D31"/>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50EA9"/>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rsid w:val="00613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13D31"/>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rsid w:val="00613D3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13D31"/>
    <w:rPr>
      <w:rFonts w:ascii="Arial" w:eastAsiaTheme="majorEastAsia" w:hAnsi="Arial" w:cstheme="majorBidi"/>
      <w:i/>
      <w:iCs/>
      <w:color w:val="4F81BD" w:themeColor="accent1"/>
      <w:spacing w:val="15"/>
      <w:sz w:val="24"/>
      <w:szCs w:val="24"/>
    </w:rPr>
  </w:style>
  <w:style w:type="paragraph" w:styleId="Aufzhlungszeichen">
    <w:name w:val="List Bullet"/>
    <w:basedOn w:val="Standard"/>
    <w:uiPriority w:val="99"/>
    <w:unhideWhenUsed/>
    <w:qFormat/>
    <w:rsid w:val="00613D31"/>
    <w:pPr>
      <w:numPr>
        <w:numId w:val="4"/>
      </w:numPr>
      <w:spacing w:after="120" w:line="240" w:lineRule="auto"/>
      <w:contextualSpacing/>
    </w:pPr>
  </w:style>
  <w:style w:type="character" w:styleId="SchwacheHervorhebung">
    <w:name w:val="Subtle Emphasis"/>
    <w:basedOn w:val="Absatz-Standardschriftart"/>
    <w:uiPriority w:val="19"/>
    <w:rsid w:val="00613D31"/>
    <w:rPr>
      <w:i/>
      <w:iCs/>
      <w:color w:val="808080" w:themeColor="text1" w:themeTint="7F"/>
    </w:rPr>
  </w:style>
  <w:style w:type="character" w:styleId="Hervorhebung">
    <w:name w:val="Emphasis"/>
    <w:basedOn w:val="Absatz-Standardschriftart"/>
    <w:uiPriority w:val="20"/>
    <w:rsid w:val="00613D31"/>
    <w:rPr>
      <w:i/>
      <w:iCs/>
    </w:rPr>
  </w:style>
  <w:style w:type="character" w:styleId="IntensiveHervorhebung">
    <w:name w:val="Intense Emphasis"/>
    <w:basedOn w:val="Absatz-Standardschriftart"/>
    <w:uiPriority w:val="21"/>
    <w:rsid w:val="00613D31"/>
    <w:rPr>
      <w:b/>
      <w:bCs/>
      <w:i/>
      <w:iCs/>
      <w:color w:val="4F81BD" w:themeColor="accent1"/>
    </w:rPr>
  </w:style>
  <w:style w:type="character" w:styleId="Fett">
    <w:name w:val="Strong"/>
    <w:basedOn w:val="Absatz-Standardschriftart"/>
    <w:uiPriority w:val="22"/>
    <w:rsid w:val="00613D31"/>
    <w:rPr>
      <w:b/>
      <w:bCs/>
    </w:rPr>
  </w:style>
  <w:style w:type="paragraph" w:styleId="Zitat">
    <w:name w:val="Quote"/>
    <w:basedOn w:val="Standard"/>
    <w:next w:val="Standard"/>
    <w:link w:val="ZitatZchn"/>
    <w:uiPriority w:val="29"/>
    <w:rsid w:val="00613D31"/>
    <w:rPr>
      <w:i/>
      <w:iCs/>
      <w:color w:val="000000" w:themeColor="text1"/>
    </w:rPr>
  </w:style>
  <w:style w:type="character" w:customStyle="1" w:styleId="ZitatZchn">
    <w:name w:val="Zitat Zchn"/>
    <w:basedOn w:val="Absatz-Standardschriftart"/>
    <w:link w:val="Zitat"/>
    <w:uiPriority w:val="29"/>
    <w:rsid w:val="00613D31"/>
    <w:rPr>
      <w:rFonts w:ascii="Arial" w:hAnsi="Arial"/>
      <w:i/>
      <w:iCs/>
      <w:color w:val="000000" w:themeColor="text1"/>
    </w:rPr>
  </w:style>
  <w:style w:type="paragraph" w:styleId="IntensivesZitat">
    <w:name w:val="Intense Quote"/>
    <w:basedOn w:val="Standard"/>
    <w:next w:val="Standard"/>
    <w:link w:val="IntensivesZitatZchn"/>
    <w:uiPriority w:val="30"/>
    <w:rsid w:val="00613D3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13D31"/>
    <w:rPr>
      <w:rFonts w:ascii="Arial" w:hAnsi="Arial"/>
      <w:b/>
      <w:bCs/>
      <w:i/>
      <w:iCs/>
      <w:color w:val="4F81BD" w:themeColor="accent1"/>
    </w:rPr>
  </w:style>
  <w:style w:type="character" w:styleId="SchwacherVerweis">
    <w:name w:val="Subtle Reference"/>
    <w:basedOn w:val="Absatz-Standardschriftart"/>
    <w:uiPriority w:val="31"/>
    <w:rsid w:val="00613D31"/>
    <w:rPr>
      <w:smallCaps/>
      <w:color w:val="C0504D" w:themeColor="accent2"/>
      <w:u w:val="single"/>
    </w:rPr>
  </w:style>
  <w:style w:type="character" w:styleId="Buchtitel">
    <w:name w:val="Book Title"/>
    <w:basedOn w:val="Absatz-Standardschriftart"/>
    <w:uiPriority w:val="33"/>
    <w:rsid w:val="00613D31"/>
    <w:rPr>
      <w:b/>
      <w:bCs/>
      <w:smallCaps/>
      <w:spacing w:val="5"/>
    </w:rPr>
  </w:style>
  <w:style w:type="paragraph" w:styleId="Listenabsatz">
    <w:name w:val="List Paragraph"/>
    <w:basedOn w:val="Standard"/>
    <w:uiPriority w:val="34"/>
    <w:rsid w:val="00613D31"/>
    <w:pPr>
      <w:ind w:left="720"/>
      <w:contextualSpacing/>
    </w:pPr>
  </w:style>
  <w:style w:type="character" w:styleId="IntensiverVerweis">
    <w:name w:val="Intense Reference"/>
    <w:basedOn w:val="Absatz-Standardschriftart"/>
    <w:uiPriority w:val="32"/>
    <w:rsid w:val="00B50EA9"/>
    <w:rPr>
      <w:b/>
      <w:bCs/>
      <w:smallCaps/>
      <w:color w:val="C0504D" w:themeColor="accent2"/>
      <w:spacing w:val="5"/>
      <w:u w:val="single"/>
    </w:rPr>
  </w:style>
  <w:style w:type="paragraph" w:styleId="Listennummer">
    <w:name w:val="List Number"/>
    <w:basedOn w:val="Standard"/>
    <w:uiPriority w:val="99"/>
    <w:unhideWhenUsed/>
    <w:qFormat/>
    <w:rsid w:val="00292E0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55B2-EC74-4E37-B789-C836D042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die STEG Stadtentwicklung</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Dauben, Elisa (die STEG)</dc:creator>
  <cp:keywords/>
  <dc:description/>
  <cp:lastModifiedBy>Katja Gicklhorn</cp:lastModifiedBy>
  <cp:revision>2</cp:revision>
  <cp:lastPrinted>2021-09-16T10:31:00Z</cp:lastPrinted>
  <dcterms:created xsi:type="dcterms:W3CDTF">2021-09-27T08:10:00Z</dcterms:created>
  <dcterms:modified xsi:type="dcterms:W3CDTF">2021-09-27T08:10:00Z</dcterms:modified>
</cp:coreProperties>
</file>